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Helvetica Neue" w:cs="Helvetica Neue" w:eastAsia="Helvetica Neue" w:hAnsi="Helvetica Neue"/>
          <w:b w:val="1"/>
          <w:smallCaps w:val="1"/>
          <w:color w:val="333333"/>
          <w:sz w:val="38"/>
          <w:szCs w:val="38"/>
          <w:rtl w:val="0"/>
        </w:rPr>
        <w:t xml:space="preserve">PROJECTO M—A—P—</w:t>
      </w:r>
      <w:r w:rsidDel="00000000" w:rsidR="00000000" w:rsidRPr="00000000">
        <w:rPr>
          <w:rFonts w:ascii="Helvetica Neue" w:cs="Helvetica Neue" w:eastAsia="Helvetica Neue" w:hAnsi="Helvetica Neue"/>
          <w:sz w:val="34"/>
          <w:szCs w:val="34"/>
          <w:rtl w:val="0"/>
        </w:rPr>
        <w:br w:type="textWrapping"/>
      </w:r>
      <w:r w:rsidDel="00000000" w:rsidR="00000000" w:rsidRPr="00000000">
        <w:rPr>
          <w:rFonts w:ascii="Helvetica Neue" w:cs="Helvetica Neue" w:eastAsia="Helvetica Neue" w:hAnsi="Helvetica Neue"/>
          <w:sz w:val="30"/>
          <w:szCs w:val="30"/>
          <w:rtl w:val="0"/>
        </w:rPr>
        <w:t xml:space="preserve">Mapa de Artistas de Portugal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Helvetica Neue" w:cs="Helvetica Neue" w:eastAsia="Helvetica Neue" w:hAnsi="Helvetica Neue"/>
          <w:b w:val="1"/>
          <w:sz w:val="32"/>
          <w:szCs w:val="32"/>
          <w:rtl w:val="0"/>
        </w:rPr>
        <w:t xml:space="preserve">10 Perguntas 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O que querias ser quando eras novo?</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Não me lembro muito bem se queria ser alguma coisa em concreto. Acho que sempre quis ser muitas coisas, mas tenho a ideia de que sempre quis ser astronauta e arqueólogo. Algo que hoje em dia não sou, mas que me faz sempre estar entre o tempo histórico e um tempo que ainda não existe. E isso faz de facto parte da minha vida actual.</w:t>
      </w:r>
    </w:p>
    <w:p w:rsidR="00000000" w:rsidDel="00000000" w:rsidP="00000000" w:rsidRDefault="00000000" w:rsidRPr="00000000">
      <w:pPr>
        <w:numPr>
          <w:ilvl w:val="0"/>
          <w:numId w:val="1"/>
        </w:numPr>
        <w:spacing w:after="0" w:before="0" w:line="24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Qual a tua relação com a política?</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Sou um animal político, tal como o Platão refere na sua República. Não milito em nenhum partido. Sou essencialmente contra as injustiças e falta de humanidade com que somos assaltados constantemente pelos media. De facto, a política começa connosco: em casa, no local de trabalho, no contexto social onde nos movemos. A minha “acção política” existe, dentro destas variáveis. No meu trabalho, por vezes há subtilezas políticas, mas procuro que os espectadores se confrontem com essas subtilezas e se eu as conseguir tocar de alguma forma, que reflictam sobre si mesmos e as suas acções diárias.</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Quem são as pessoas que mais te influenciaram?</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Várias. Umas próximas, como os meus avós paternos. Graças a eles pude enriquecer culturalmente. Obviamente também aos meus pais, que reconheço hoje que se sacrificaram pessoalmente, para que eu pudesse fazer as minhas escolhas; e que me deram bons conselhos até hoje. Em termos de celebridades não consigo nomear ninguém em especial: uns pelos feitos relatados; outros pelas palavras que deixaram escritas em várias obras; outros, igualmente próximos pelo valor que dão a conceitos abstractos, como a amizade, honestidade e a essência genuína que penso serem as condições essênciais para um ser se dizer humano. São essas pessoas que me fazem continuar que tudo vale a pena e que há que continuar a acreditar e a trabalhar.</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O que te interessa nos tempos de hoje?</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Culturalmente sou “omnívoro”. Os meus interesses são díspares e por vezes em “esferas” muito diferentes. Sou assim desde que me conheço e apesar de numa altura de decidir um trajecto poder ter escolhido qualquer um, na realidade sempre persegui “desafios” e com isso acabei por escolher engenharia. A nossa duração média de vida é demasiadamente pequena, para querermos ser apenas uma “coisa” ou só nos interessarmos por uma “coisa”. Não me limito e como tal, tudo o que está relacionado com fenómenos humanos; de expressão humana; de produção de conhecimento; de partilha desse conhecimento; de formas sociais; de visões sobre a forma como ocupamos o espaço; a “urbanidade” e a falta dela… e muitas outras matérias - tudo isto merece a minha atenção. Por vezes gostava que os dias pudessem ter mais de 24 horas (e por vezes até têm…).</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Tem a arte alguma influência sobre a evolução da sociedade?</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Claro que sim! É isso que me faz estar em contacto constante com a actividade artística: minha e dos outros; é isso que me faz abraçar projectos que penso importantes e que hoje são também parte da minha actividade profissional (ainda que não remunerada) como a organização da Feira do Livro de Fotografia de Lisboa e todas as actividades da Associação Terceiro Direito, que detém os projectos Raum.pt e WrongWrong.net (para já).</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Qual a palavra melhor define a tua atividade de criação?</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Tenho alguma dificuldade em conseguir definir o meu trabalho. Mas a palavra será “Procura” ou “Curiosidade”. Há uma motivação que me leva a continuar a trabalhar da forma como trabalho. A Arte não é a minha actividade profissional primária. Tenho outra bastante exigente e que me deixa muito pouco tempo para outras tarefas, mas isso faz parte do desafio de viver. Tal como os meus gostos, que são diversos, procuro não deixar que essa falta de tempo me limite no que respeita a actividade artística. Poderia também nomear a palavra “Persistência”, pois sem ela não conseguia fazer o que faço.</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O que significa para ti a língua? A palavra?</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Associo a língua à base da identidade de um indivíduo, sobretudo pela utilização das palavras dessa língua. Mas por outro lado, penso que a globalidade do mundo actual e sobretudo o lado “instantâneo” com que a informação (e desinformação) flui criam algumas questões sobre quão importante é de facto a língua e as palavras. A comunicação é hoje em dia sobretudo visual e além fronteiras. </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Em relação à produção artística, a palavra e a língua (quase sempre a Inglesa) surgem de forma quase acessória ou a enfatizar algo que já está a ser transmitido pela imagem à qual está normalmente associada. As palavras são algumas vezes jogos de sons, que podem querer ou não dizer alguma coisa, mas que soam a algo que é capaz de gerar uma sensação.</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Em termos curatoriais ou de pensamento teórico, servem sobretudo para “cristalizar”, justificar ou “monumentalizar” um dado trabalho artístico - visto que a crítica negativa é muitas das vezes a omissão da existência de uma exposição ou de uma obra.</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Ou seja, na minha opinião, a língua e a palavra são algo que apesar de importante</w:t>
      </w:r>
    </w:p>
    <w:p w:rsidR="00000000" w:rsidDel="00000000" w:rsidP="00000000" w:rsidRDefault="00000000" w:rsidRPr="00000000">
      <w:pPr>
        <w:spacing w:after="0" w:before="0" w:line="24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O que levavas para a famosa ilha?</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Nada. Não me assusta recomeçar do zero e não sou agarrado ao “material”. </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Ao longo do tempo aprendi a viver de acordo com as circunstâncias e as possibilidades e não me renegando a esses factores consegui sempre ultrapassá-los.</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Sei que consigo e que sou capaz e como tal não me preocupo com coisas vãs, como estatutos, riqueza. A maior riqueza que temos somos nós mesmos e a nossa vontade de viver. Nesta vida não temos nada, de facto. Apenas a oportunidade de viver.</w:t>
      </w:r>
    </w:p>
    <w:p w:rsidR="00000000" w:rsidDel="00000000" w:rsidP="00000000" w:rsidRDefault="00000000" w:rsidRPr="00000000">
      <w:pPr>
        <w:numPr>
          <w:ilvl w:val="0"/>
          <w:numId w:val="1"/>
        </w:numPr>
        <w:spacing w:after="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Quais as reformas mais urgentes</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R: A mais urgente é de facto repensar a actual Lei do Mecenato. O País tem todas as condições criativas para ser uma “potência artística”, mas não tem as financeiras. Um dos maiores problemas que observo e que acabam por estar sempre fora da equação do orçamento para a actividade cultural e artísticas é talvez a que mais poderia contribuir positivamente para colmatar essa falha. O apoio menos “promocional” e mais responsável socialmente por parte de várias grandes empresas (que por vezes acabam por ser os mecenas das suas próprias fundações: como a Culturgeste, Fundação EDP, Novo Banco, etc). Há muito bons projectos numa lógica mais “grassroots”, que deviam ser apadrinhados e que dependem de apoios da Direcção Geral das Artes, cujo orçamento é reduzido de ano para ano.</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Igualmente importante é o acesso à Arte e à Cultura. Neste momento e por uma questão de sobrevivência institucional tiveram de reduzir os períodos gratuítos. Isto acaba por contribuir para uma elitização da Arte, por um lado; e um afastamento, por outro, do valor da Arte no seio da sociedade com consequências danosas para o próprio contexto artístico, pois havendo uma opinião pública distante da causa artística, os orçamentos destinados à Arte, por via de um “populismo demagogo”, podem ser constantemente reduzidos até a um nada. A Arte não é para “ricos” e não devia ser tratada como tal. </w:t>
      </w:r>
    </w:p>
    <w:p w:rsidR="00000000" w:rsidDel="00000000" w:rsidP="00000000" w:rsidRDefault="00000000" w:rsidRPr="00000000">
      <w:pPr>
        <w:spacing w:after="0" w:before="0" w:line="240" w:lineRule="auto"/>
        <w:contextualSpacing w:val="0"/>
      </w:pPr>
      <w:r w:rsidDel="00000000" w:rsidR="00000000" w:rsidRPr="00000000">
        <w:rPr>
          <w:rFonts w:ascii="Helvetica Neue" w:cs="Helvetica Neue" w:eastAsia="Helvetica Neue" w:hAnsi="Helvetica Neue"/>
          <w:rtl w:val="0"/>
        </w:rPr>
        <w:t xml:space="preserve">Ou seja, em suma reformas que vão ao encontro da melhoria das condições de produção e apreciação da Arte e que sejam inclusivas, do ponto de vista da relação entre a Arte (e Cultura) e a sociedade em que se inscreve.</w:t>
      </w:r>
    </w:p>
    <w:p w:rsidR="00000000" w:rsidDel="00000000" w:rsidP="00000000" w:rsidRDefault="00000000" w:rsidRPr="00000000">
      <w:pPr>
        <w:numPr>
          <w:ilvl w:val="0"/>
          <w:numId w:val="1"/>
        </w:numPr>
        <w:spacing w:after="160" w:before="0" w:line="480" w:lineRule="auto"/>
        <w:ind w:left="720" w:hanging="360"/>
        <w:contextualSpacing w:val="1"/>
        <w:rPr>
          <w:rFonts w:ascii="Helvetica Neue" w:cs="Helvetica Neue" w:eastAsia="Helvetica Neue" w:hAnsi="Helvetica Neue"/>
          <w:b w:val="0"/>
          <w:sz w:val="24"/>
          <w:szCs w:val="24"/>
        </w:rPr>
      </w:pPr>
      <w:r w:rsidDel="00000000" w:rsidR="00000000" w:rsidRPr="00000000">
        <w:rPr>
          <w:rFonts w:ascii="Helvetica Neue" w:cs="Helvetica Neue" w:eastAsia="Helvetica Neue" w:hAnsi="Helvetica Neue"/>
          <w:b w:val="0"/>
          <w:sz w:val="24"/>
          <w:szCs w:val="24"/>
          <w:rtl w:val="0"/>
        </w:rPr>
        <w:t xml:space="preserve">O que deverá acontecer à tua obra?</w:t>
      </w:r>
    </w:p>
    <w:p w:rsidR="00000000" w:rsidDel="00000000" w:rsidP="00000000" w:rsidRDefault="00000000" w:rsidRPr="00000000">
      <w:pPr>
        <w:spacing w:after="160" w:before="0" w:line="240" w:lineRule="auto"/>
        <w:contextualSpacing w:val="0"/>
      </w:pPr>
      <w:r w:rsidDel="00000000" w:rsidR="00000000" w:rsidRPr="00000000">
        <w:rPr>
          <w:rFonts w:ascii="Helvetica Neue" w:cs="Helvetica Neue" w:eastAsia="Helvetica Neue" w:hAnsi="Helvetica Neue"/>
          <w:rtl w:val="0"/>
        </w:rPr>
        <w:t xml:space="preserve">R: Nunca pensei sobre isso. Sinceramente não sei. Não faço trabalho para o mercado (seguindo tendências sazonais ou intelectuais) ou para que conste do acervo de um museu. Faço trabalho que me faça sentido; que seja o reflexo do que observo, do que sinto, do que penso e que quero partilhar com outros. O trabalho que faço há de encontrar o seu espaço no futuro, seja ele qual for. Não penso nisso.</w:t>
      </w:r>
    </w:p>
    <w:p w:rsidR="00000000" w:rsidDel="00000000" w:rsidP="00000000" w:rsidRDefault="00000000" w:rsidRPr="00000000">
      <w:pPr>
        <w:contextualSpacing w:val="0"/>
      </w:pPr>
      <w:bookmarkStart w:colFirst="0" w:colLast="0" w:name="h.gjdgxs"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0</wp:posOffset>
                </wp:positionH>
                <wp:positionV relativeFrom="paragraph">
                  <wp:posOffset>165100</wp:posOffset>
                </wp:positionV>
                <wp:extent cx="5283200" cy="12700"/>
                <wp:effectExtent b="0" l="0" r="0" t="0"/>
                <wp:wrapNone/>
                <wp:docPr id="1" name=""/>
                <a:graphic>
                  <a:graphicData uri="http://schemas.microsoft.com/office/word/2010/wordprocessingShape">
                    <wps:wsp>
                      <wps:cNvCnPr/>
                      <wps:spPr>
                        <a:xfrm>
                          <a:off x="2700405" y="3780000"/>
                          <a:ext cx="5291190" cy="0"/>
                        </a:xfrm>
                        <a:prstGeom prst="straightConnector1">
                          <a:avLst/>
                        </a:prstGeom>
                        <a:noFill/>
                        <a:ln cap="flat" cmpd="sng" w="15875">
                          <a:solidFill>
                            <a:schemeClr val="dk1"/>
                          </a:solidFill>
                          <a:prstDash val="solid"/>
                          <a:miter/>
                          <a:headEnd len="med" w="med" type="none"/>
                          <a:tailEnd len="med" w="med" type="none"/>
                        </a:ln>
                      </wps:spPr>
                      <wps:bodyPr anchorCtr="0" anchor="ctr" bIns="91425" lIns="91425" rIns="91425" tIns="91425"/>
                    </wps:wsp>
                  </a:graphicData>
                </a:graphic>
              </wp:anchor>
            </w:drawing>
          </mc:Choice>
          <mc:Fallback>
            <w:drawing>
              <wp:anchor allowOverlap="0" behindDoc="0" distB="0" distT="0" distL="114300" distR="114300" hidden="0" layoutInCell="0" locked="0" relativeHeight="0" simplePos="0">
                <wp:simplePos x="0" y="0"/>
                <wp:positionH relativeFrom="margin">
                  <wp:posOffset>0</wp:posOffset>
                </wp:positionH>
                <wp:positionV relativeFrom="paragraph">
                  <wp:posOffset>165100</wp:posOffset>
                </wp:positionV>
                <wp:extent cx="5283200" cy="12700"/>
                <wp:effectExtent b="0" l="0" r="0" t="0"/>
                <wp:wrapNone/>
                <wp:docPr id="1" name="image01.png"/>
                <a:graphic>
                  <a:graphicData uri="http://schemas.openxmlformats.org/drawingml/2006/picture">
                    <pic:pic>
                      <pic:nvPicPr>
                        <pic:cNvPr id="0" name="image01.png"/>
                        <pic:cNvPicPr preferRelativeResize="0"/>
                      </pic:nvPicPr>
                      <pic:blipFill>
                        <a:blip r:embed="rId5"/>
                        <a:srcRect/>
                        <a:stretch>
                          <a:fillRect/>
                        </a:stretch>
                      </pic:blipFill>
                      <pic:spPr>
                        <a:xfrm>
                          <a:off x="0" y="0"/>
                          <a:ext cx="5283200" cy="12700"/>
                        </a:xfrm>
                        <a:prstGeom prst="rect"/>
                        <a:ln/>
                      </pic:spPr>
                    </pic:pic>
                  </a:graphicData>
                </a:graphic>
              </wp:anchor>
            </w:drawing>
          </mc:Fallback>
        </mc:AlternateContent>
      </w:r>
    </w:p>
    <w:p w:rsidR="00000000" w:rsidDel="00000000" w:rsidP="00000000" w:rsidRDefault="00000000" w:rsidRPr="00000000">
      <w:pPr>
        <w:contextualSpacing w:val="0"/>
      </w:pPr>
      <w:r w:rsidDel="00000000" w:rsidR="00000000" w:rsidRPr="00000000">
        <w:rPr>
          <w:i w:val="1"/>
          <w:sz w:val="18"/>
          <w:szCs w:val="18"/>
          <w:rtl w:val="0"/>
        </w:rPr>
        <w:t xml:space="preserve">* Retiradas das 100 Fragen an de Serge Stauffer, catálogo da exposição Friends – Freunde – d’Frund, 1969</w:t>
      </w:r>
    </w:p>
    <w:sectPr>
      <w:pgSz w:h="16838" w:w="11906"/>
      <w:pgMar w:bottom="1417" w:top="1417" w:left="1701" w:right="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r:id="rId1" w:subsetted="0"/>
    <w:embedBold r:id="rId2" w:subsetted="0"/>
    <w:embedItalic r:id="rId3" w:subsetted="0"/>
    <w:embedBoldItalic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